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Checklist: Use Case 23 – Assign Lifecycle Ownership by Asset Type</w:t>
      </w:r>
    </w:p>
    <w:p>
      <w:r>
        <w:t>☐ Export all assets from Inventory &gt; All Assets.</w:t>
      </w:r>
    </w:p>
    <w:p>
      <w:r>
        <w:t>☐ Group exported data by Asset Type (e.g., Laptop, Monitor, Router).</w:t>
      </w:r>
    </w:p>
    <w:p>
      <w:r>
        <w:t>☐ Assign a designated owner (individual or team) for each Asset Type.</w:t>
      </w:r>
    </w:p>
    <w:p>
      <w:r>
        <w:t>☐ Navigate to Admin &gt; Roles and configure permissions to allow only owners to modify their assigned asset types.</w:t>
      </w:r>
    </w:p>
    <w:p>
      <w:r>
        <w:t>☐ Create Saved Views for each owner showing incomplete or outdated records (e.g., missing serial numbers, expired warranties).</w:t>
      </w:r>
    </w:p>
    <w:p>
      <w:r>
        <w:t>☐ Share dashboards or reports with asset owners for regular review.</w:t>
      </w:r>
    </w:p>
    <w:p>
      <w:r>
        <w:t>☐ Document ownership assignments in a central governance record.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